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9707E0" w:rsidRPr="00CC1BA0" w:rsidRDefault="009707E0" w:rsidP="00CC1BA0">
      <w:pPr>
        <w:jc w:val="both"/>
        <w:rPr>
          <w:rFonts w:ascii="Calibri" w:hAnsi="Calibri" w:cs="Calibri"/>
          <w:sz w:val="22"/>
          <w:szCs w:val="22"/>
        </w:rPr>
      </w:pPr>
    </w:p>
    <w:p w:rsidR="00181947" w:rsidRPr="00181947" w:rsidRDefault="00181947" w:rsidP="00181947">
      <w:pPr>
        <w:jc w:val="both"/>
        <w:rPr>
          <w:rFonts w:ascii="Calibri" w:hAnsi="Calibri" w:cs="Calibri"/>
          <w:b/>
        </w:rPr>
      </w:pPr>
      <w:r w:rsidRPr="00181947">
        <w:rPr>
          <w:rFonts w:ascii="Calibri" w:hAnsi="Calibri" w:cs="Calibri"/>
          <w:b/>
        </w:rPr>
        <w:t>Processo n. 358687/2012.</w:t>
      </w:r>
    </w:p>
    <w:p w:rsidR="00181947" w:rsidRPr="00181947" w:rsidRDefault="00181947" w:rsidP="00181947">
      <w:pPr>
        <w:jc w:val="both"/>
        <w:rPr>
          <w:rFonts w:ascii="Calibri" w:hAnsi="Calibri" w:cs="Calibri"/>
          <w:b/>
        </w:rPr>
      </w:pPr>
      <w:r w:rsidRPr="00181947">
        <w:rPr>
          <w:rFonts w:ascii="Calibri" w:hAnsi="Calibri" w:cs="Calibri"/>
          <w:b/>
        </w:rPr>
        <w:t xml:space="preserve">Recorrente - Laticínio Conquista Ltda. </w:t>
      </w:r>
    </w:p>
    <w:p w:rsidR="00181947" w:rsidRPr="00181947" w:rsidRDefault="00181947" w:rsidP="00181947">
      <w:pPr>
        <w:jc w:val="both"/>
        <w:rPr>
          <w:rFonts w:ascii="Calibri" w:hAnsi="Calibri" w:cs="Calibri"/>
        </w:rPr>
      </w:pPr>
      <w:r w:rsidRPr="00181947">
        <w:rPr>
          <w:rFonts w:ascii="Calibri" w:hAnsi="Calibri" w:cs="Calibri"/>
        </w:rPr>
        <w:t>Auto de Infração n. 134859, de 13/06/2012.</w:t>
      </w:r>
    </w:p>
    <w:p w:rsidR="00181947" w:rsidRPr="00181947" w:rsidRDefault="00181947" w:rsidP="00181947">
      <w:pPr>
        <w:jc w:val="both"/>
        <w:rPr>
          <w:rFonts w:ascii="Calibri" w:hAnsi="Calibri" w:cs="Calibri"/>
        </w:rPr>
      </w:pPr>
      <w:r w:rsidRPr="00181947">
        <w:rPr>
          <w:rFonts w:ascii="Calibri" w:hAnsi="Calibri" w:cs="Calibri"/>
        </w:rPr>
        <w:t xml:space="preserve">Relatora – </w:t>
      </w:r>
      <w:proofErr w:type="spellStart"/>
      <w:r w:rsidRPr="00181947">
        <w:rPr>
          <w:rFonts w:ascii="Calibri" w:hAnsi="Calibri" w:cs="Calibri"/>
        </w:rPr>
        <w:t>Adelayne</w:t>
      </w:r>
      <w:proofErr w:type="spellEnd"/>
      <w:r w:rsidRPr="00181947">
        <w:rPr>
          <w:rFonts w:ascii="Calibri" w:hAnsi="Calibri" w:cs="Calibri"/>
        </w:rPr>
        <w:t xml:space="preserve"> </w:t>
      </w:r>
      <w:proofErr w:type="spellStart"/>
      <w:r w:rsidRPr="00181947">
        <w:rPr>
          <w:rFonts w:ascii="Calibri" w:hAnsi="Calibri" w:cs="Calibri"/>
        </w:rPr>
        <w:t>Bazzano</w:t>
      </w:r>
      <w:proofErr w:type="spellEnd"/>
      <w:r w:rsidRPr="00181947">
        <w:rPr>
          <w:rFonts w:ascii="Calibri" w:hAnsi="Calibri" w:cs="Calibri"/>
        </w:rPr>
        <w:t xml:space="preserve"> Magalhães – SES. </w:t>
      </w:r>
    </w:p>
    <w:p w:rsidR="00A60732" w:rsidRPr="00181947" w:rsidRDefault="00181947" w:rsidP="00181947">
      <w:pPr>
        <w:jc w:val="both"/>
        <w:rPr>
          <w:rFonts w:ascii="Calibri" w:hAnsi="Calibri" w:cs="Calibri"/>
        </w:rPr>
      </w:pPr>
      <w:r w:rsidRPr="00181947">
        <w:rPr>
          <w:rFonts w:ascii="Calibri" w:hAnsi="Calibri" w:cs="Calibri"/>
        </w:rPr>
        <w:t xml:space="preserve">Advogado – Antônio Roberto Gomes de Oliveira – OAB/MT 10.168. </w:t>
      </w:r>
    </w:p>
    <w:p w:rsidR="00FF079E" w:rsidRPr="008225F7" w:rsidRDefault="008225F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E752A7" w:rsidRDefault="00227C95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040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1E56C9" w:rsidRDefault="009C32C2" w:rsidP="000C2F19">
      <w:pPr>
        <w:jc w:val="both"/>
        <w:rPr>
          <w:rFonts w:ascii="Calibri" w:hAnsi="Calibri" w:cs="Calibri"/>
        </w:rPr>
      </w:pPr>
      <w:r w:rsidRPr="009C32C2">
        <w:rPr>
          <w:rFonts w:ascii="Calibri" w:hAnsi="Calibri" w:cs="Calibri"/>
          <w:sz w:val="22"/>
          <w:szCs w:val="22"/>
        </w:rPr>
        <w:t>Auto de Infração n.</w:t>
      </w:r>
      <w:r w:rsidR="00181947">
        <w:rPr>
          <w:rFonts w:ascii="Calibri" w:hAnsi="Calibri" w:cs="Calibri"/>
          <w:sz w:val="22"/>
          <w:szCs w:val="22"/>
        </w:rPr>
        <w:t xml:space="preserve"> 135859, de 13/06/2012. </w:t>
      </w:r>
      <w:r w:rsidR="000C2F19" w:rsidRPr="000C2F19">
        <w:rPr>
          <w:rFonts w:ascii="Calibri" w:hAnsi="Calibri" w:cs="Calibri"/>
        </w:rPr>
        <w:t xml:space="preserve"> </w:t>
      </w:r>
      <w:r w:rsidR="00CA58A8" w:rsidRPr="00CA58A8">
        <w:rPr>
          <w:rFonts w:ascii="Calibri" w:hAnsi="Calibri" w:cs="Calibri"/>
        </w:rPr>
        <w:t>Por deixar de atender as condicionantes estabelecidas na licença ambiental n. 297664/2009 e Parecer Técnico n. 23337/CI/SUIMIS/2009 e Parecer Técnico n. 20.484/CM/SUIMIS/2009. Por operar em desacordo com a licença de operação. Decisão Administrativa n. 1.863/SPA/SEMA/2017, pela homologação do Auto de Infração n. 134859, de 13/06/2012, arbitrando a multa de R$ 20.000,00 (vinte mil reais), com fulcro no inciso II do art. 66 do Decreto Federal 6.514/08. Requer o recorrente seja decretada de ofício a prescrição da pretensão punitiva face ao esgotamento do prazo prescricional de 5 (cinco) anos que se esvaiu 12/06/2017, sem que o presente processo administrativo fosse encerrado, e o que somente ocorreu quando da intimação da ora recorrente em 24/01/2018.</w:t>
      </w:r>
      <w:r w:rsidR="001E56C9">
        <w:rPr>
          <w:rFonts w:ascii="Calibri" w:hAnsi="Calibri" w:cs="Calibri"/>
        </w:rPr>
        <w:t xml:space="preserve"> Recurso provido.</w:t>
      </w:r>
    </w:p>
    <w:p w:rsidR="001E56C9" w:rsidRDefault="001E56C9" w:rsidP="000C2F19">
      <w:pPr>
        <w:jc w:val="both"/>
        <w:rPr>
          <w:rFonts w:ascii="Calibri" w:hAnsi="Calibri" w:cs="Calibri"/>
        </w:rPr>
      </w:pPr>
    </w:p>
    <w:p w:rsidR="008225F7" w:rsidRPr="000C2F19" w:rsidRDefault="00CB770A" w:rsidP="00CD68E4">
      <w:pPr>
        <w:jc w:val="both"/>
        <w:rPr>
          <w:rFonts w:ascii="Calibri" w:hAnsi="Calibri" w:cs="Calibri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1E56C9" w:rsidRPr="001E56C9">
        <w:rPr>
          <w:rFonts w:ascii="Calibri" w:hAnsi="Calibri" w:cs="Calibri"/>
        </w:rPr>
        <w:t xml:space="preserve">por unanimidade, acolher o voto da relatora, pois se considerarmos a data do Auto de Infração n. 134859, em 13/06/2012 com o próximo Despacho SEMA nas fls. 42, de 17/06/2015, temos 3 (três) anos e 4 (quatro) dias (prescrição intercorrente, §2º do art. 21 do Decreto Federal 6.514/08; se ainda considerarmos o Despacho de Encaminhamento para emissão de decisão nas fls. 44, </w:t>
      </w:r>
      <w:r w:rsidR="00146F6A">
        <w:rPr>
          <w:rFonts w:ascii="Calibri" w:hAnsi="Calibri" w:cs="Calibri"/>
        </w:rPr>
        <w:t>d</w:t>
      </w:r>
      <w:r w:rsidR="001E56C9" w:rsidRPr="001E56C9">
        <w:rPr>
          <w:rFonts w:ascii="Calibri" w:hAnsi="Calibri" w:cs="Calibri"/>
        </w:rPr>
        <w:t>e 04/10/2017, temos 5 (cinco) anos e 3 (três) meses e 20 (vinte) dias (prescrição da pretensão punitiva</w:t>
      </w:r>
      <w:r w:rsidR="00146F6A">
        <w:rPr>
          <w:rFonts w:ascii="Calibri" w:hAnsi="Calibri" w:cs="Calibri"/>
        </w:rPr>
        <w:t>)</w:t>
      </w:r>
      <w:r w:rsidR="001E56C9" w:rsidRPr="001E56C9">
        <w:rPr>
          <w:rFonts w:ascii="Calibri" w:hAnsi="Calibri" w:cs="Calibri"/>
        </w:rPr>
        <w:t xml:space="preserve">, art. 21, </w:t>
      </w:r>
      <w:r w:rsidR="001E56C9" w:rsidRPr="001E56C9">
        <w:rPr>
          <w:rFonts w:ascii="Calibri" w:hAnsi="Calibri" w:cs="Calibri"/>
          <w:i/>
        </w:rPr>
        <w:t xml:space="preserve">caput, </w:t>
      </w:r>
      <w:r w:rsidR="001E56C9" w:rsidRPr="001E56C9">
        <w:rPr>
          <w:rFonts w:ascii="Calibri" w:hAnsi="Calibri" w:cs="Calibri"/>
        </w:rPr>
        <w:t>§1º do Decreto Feder</w:t>
      </w:r>
      <w:r w:rsidR="00146F6A">
        <w:rPr>
          <w:rFonts w:ascii="Calibri" w:hAnsi="Calibri" w:cs="Calibri"/>
        </w:rPr>
        <w:t>al 6.514/08. Nesse sentido, votamos</w:t>
      </w:r>
      <w:r w:rsidR="001E56C9" w:rsidRPr="001E56C9">
        <w:rPr>
          <w:rFonts w:ascii="Calibri" w:hAnsi="Calibri" w:cs="Calibri"/>
        </w:rPr>
        <w:t xml:space="preserve"> pelo reconhecimento de ofício, da ocorrência da prescrição, tanto na forma intercorrente como </w:t>
      </w:r>
      <w:r w:rsidR="00BA7BA9">
        <w:rPr>
          <w:rFonts w:ascii="Calibri" w:hAnsi="Calibri" w:cs="Calibri"/>
        </w:rPr>
        <w:t>n</w:t>
      </w:r>
      <w:r w:rsidR="001E56C9" w:rsidRPr="001E56C9">
        <w:rPr>
          <w:rFonts w:ascii="Calibri" w:hAnsi="Calibri" w:cs="Calibri"/>
        </w:rPr>
        <w:t xml:space="preserve">a prescrição da pretensão punitiva do Estado, com fulcro nos artigos 1º, §1º, da Lei 9.873/99 e art. 21, </w:t>
      </w:r>
      <w:r w:rsidR="001E56C9" w:rsidRPr="001E56C9">
        <w:rPr>
          <w:rFonts w:ascii="Calibri" w:hAnsi="Calibri" w:cs="Calibri"/>
          <w:i/>
        </w:rPr>
        <w:t xml:space="preserve">caput, </w:t>
      </w:r>
      <w:r w:rsidR="001E56C9" w:rsidRPr="001E56C9">
        <w:rPr>
          <w:rFonts w:ascii="Calibri" w:hAnsi="Calibri" w:cs="Calibri"/>
        </w:rPr>
        <w:t>§§1º e 2º do Decreto Federal 6.514/08, declinando pelo cancelamento do Auto de Infração n. 134859.</w:t>
      </w: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006C9B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Fabíola Laura Costa</w:t>
      </w:r>
    </w:p>
    <w:p w:rsidR="00C25848" w:rsidRPr="00006C9B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006C9B">
        <w:rPr>
          <w:rFonts w:ascii="Calibri" w:hAnsi="Calibri" w:cs="Calibri"/>
          <w:sz w:val="21"/>
          <w:szCs w:val="21"/>
        </w:rPr>
        <w:t>11 de junho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006C9B" w:rsidRPr="00966392" w:rsidRDefault="00006C9B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</w:p>
    <w:p w:rsidR="00006C9B" w:rsidRDefault="00006C9B" w:rsidP="00C1023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William Khalil</w:t>
      </w:r>
      <w:r w:rsidR="00CB770A"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</w:t>
      </w:r>
    </w:p>
    <w:p w:rsidR="00415090" w:rsidRPr="00966392" w:rsidRDefault="005614B8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="00CB770A"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23A56"/>
    <w:rsid w:val="00045585"/>
    <w:rsid w:val="00053617"/>
    <w:rsid w:val="00053E01"/>
    <w:rsid w:val="0006041D"/>
    <w:rsid w:val="00064698"/>
    <w:rsid w:val="00065325"/>
    <w:rsid w:val="00082A79"/>
    <w:rsid w:val="00093F28"/>
    <w:rsid w:val="000A091B"/>
    <w:rsid w:val="000A5744"/>
    <w:rsid w:val="000C2F19"/>
    <w:rsid w:val="000D25F2"/>
    <w:rsid w:val="000D6BBB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46F6A"/>
    <w:rsid w:val="00156EE8"/>
    <w:rsid w:val="00163398"/>
    <w:rsid w:val="00181947"/>
    <w:rsid w:val="00195194"/>
    <w:rsid w:val="001A0A3B"/>
    <w:rsid w:val="001B41C5"/>
    <w:rsid w:val="001B688B"/>
    <w:rsid w:val="001B70F0"/>
    <w:rsid w:val="001D0B8C"/>
    <w:rsid w:val="001D208A"/>
    <w:rsid w:val="001D3B89"/>
    <w:rsid w:val="001E411A"/>
    <w:rsid w:val="001E56C9"/>
    <w:rsid w:val="001E6D5D"/>
    <w:rsid w:val="0022180E"/>
    <w:rsid w:val="00223A65"/>
    <w:rsid w:val="00227C95"/>
    <w:rsid w:val="002450C2"/>
    <w:rsid w:val="00245A9C"/>
    <w:rsid w:val="00246110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1A1F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519C7"/>
    <w:rsid w:val="005614B8"/>
    <w:rsid w:val="0056733F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3BF4"/>
    <w:rsid w:val="007369B2"/>
    <w:rsid w:val="00746BC5"/>
    <w:rsid w:val="00771B0D"/>
    <w:rsid w:val="007721B4"/>
    <w:rsid w:val="00786006"/>
    <w:rsid w:val="007B3251"/>
    <w:rsid w:val="007B4262"/>
    <w:rsid w:val="007D15AE"/>
    <w:rsid w:val="007D2B6B"/>
    <w:rsid w:val="007D3D05"/>
    <w:rsid w:val="007D4553"/>
    <w:rsid w:val="007D7210"/>
    <w:rsid w:val="007E64A0"/>
    <w:rsid w:val="008225F7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325E1"/>
    <w:rsid w:val="00947F9A"/>
    <w:rsid w:val="00954BD2"/>
    <w:rsid w:val="00966392"/>
    <w:rsid w:val="00966CB5"/>
    <w:rsid w:val="009707E0"/>
    <w:rsid w:val="0098639B"/>
    <w:rsid w:val="00991465"/>
    <w:rsid w:val="009B1E98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5239F"/>
    <w:rsid w:val="00B60D3B"/>
    <w:rsid w:val="00B74443"/>
    <w:rsid w:val="00BA225B"/>
    <w:rsid w:val="00BA7BA9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93FC5"/>
    <w:rsid w:val="00C97156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12EDA"/>
    <w:rsid w:val="00D25D7C"/>
    <w:rsid w:val="00D45785"/>
    <w:rsid w:val="00D473D9"/>
    <w:rsid w:val="00D74DCB"/>
    <w:rsid w:val="00D77EAD"/>
    <w:rsid w:val="00DC7EA9"/>
    <w:rsid w:val="00DD6CDD"/>
    <w:rsid w:val="00DE3978"/>
    <w:rsid w:val="00DF0573"/>
    <w:rsid w:val="00E10642"/>
    <w:rsid w:val="00E2151D"/>
    <w:rsid w:val="00E3035C"/>
    <w:rsid w:val="00E366D2"/>
    <w:rsid w:val="00E544F8"/>
    <w:rsid w:val="00E5521D"/>
    <w:rsid w:val="00E752A7"/>
    <w:rsid w:val="00EA1E8A"/>
    <w:rsid w:val="00EB4E20"/>
    <w:rsid w:val="00EC2EFA"/>
    <w:rsid w:val="00EE102F"/>
    <w:rsid w:val="00EF34C0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AB1A-D0CD-4067-B421-DE881FAA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14</cp:revision>
  <cp:lastPrinted>2021-06-01T14:33:00Z</cp:lastPrinted>
  <dcterms:created xsi:type="dcterms:W3CDTF">2021-06-13T23:48:00Z</dcterms:created>
  <dcterms:modified xsi:type="dcterms:W3CDTF">2021-06-15T00:46:00Z</dcterms:modified>
</cp:coreProperties>
</file>